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_________________________________,</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writing this letter to urge you to maintain the Rohrabacher-Farr Amendment, pertaining to medical marijuana, for the Fiscal Year 2017 spending bill.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amendment has been successful in saving the United States taxpayers' funds since 2017. It has kept these funds from being misused to prosecute patients who are complying with their state cannabis laws so that they may be used for much more important needs.</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date, 44 states and municipalities have laws that allow their residents to use marijuana or medical purposes. The Rohrabacher-Farr Amendment is vital to ensuring clarity and security for these people.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time and consideration in this matter.</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Sincerely,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